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СОБРАНИЕ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НОВИЧИХИНСКОГО РАЙОНА АЛТАЙСКОГО КРАЯ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РЕШЕНИЕ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30.06.2020 г.</w:t>
      </w: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sz w:val="24"/>
          <w:szCs w:val="24"/>
        </w:rPr>
        <w:t xml:space="preserve">№   8                                                                     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с. Долгово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2172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>сообщения лицами, замещающими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муниципальные должности и должности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>муниципальной службы в Собрании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2172">
        <w:rPr>
          <w:rFonts w:ascii="Arial" w:eastAsia="Times New Roman" w:hAnsi="Arial" w:cs="Arial"/>
          <w:bCs/>
          <w:sz w:val="24"/>
          <w:szCs w:val="24"/>
        </w:rPr>
        <w:t xml:space="preserve">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bCs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2172">
        <w:rPr>
          <w:rFonts w:ascii="Arial" w:eastAsia="Times New Roman" w:hAnsi="Arial" w:cs="Arial"/>
          <w:bCs/>
          <w:sz w:val="24"/>
          <w:szCs w:val="24"/>
        </w:rPr>
        <w:t xml:space="preserve">о получении подарка в связи с их должностным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>положением или исполнением ими служебных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(должностных) обязанностей, сдачи и оценки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подарка, реализации (выкупа) и зачисления средств, </w:t>
      </w:r>
      <w:r w:rsidRPr="00FE217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bCs/>
          <w:sz w:val="24"/>
          <w:szCs w:val="24"/>
        </w:rPr>
        <w:t>вырученных от его реализации.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Гражданским </w:t>
      </w:r>
      <w:hyperlink r:id="rId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кодексом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Федерации, </w:t>
      </w:r>
      <w:hyperlink r:id="rId8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пунктом 5 части первой статьи 14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9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пунктом 7 части третьей статьи 12.1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10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постановлением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11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Уставом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Долговский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Алтайского края, Собрание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прилагаемое </w:t>
      </w:r>
      <w:hyperlink w:anchor="P40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Положение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о порядке сообщения лицами, замещающими муниципальные должности и должности муниципальной службы 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Глава сельсовета       А.Д. Пеньков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 Решением Собрания депутатов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Алтайского края</w:t>
      </w: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2172">
        <w:rPr>
          <w:rFonts w:ascii="Arial" w:eastAsia="Times New Roman" w:hAnsi="Arial" w:cs="Arial"/>
          <w:color w:val="000000"/>
          <w:sz w:val="24"/>
          <w:szCs w:val="24"/>
        </w:rPr>
        <w:t>от 30.06.2020 № 8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40"/>
      <w:bookmarkEnd w:id="1"/>
      <w:r w:rsidRPr="00FE2172">
        <w:rPr>
          <w:rFonts w:ascii="Arial" w:eastAsia="Times New Roman" w:hAnsi="Arial" w:cs="Arial"/>
          <w:color w:val="000000"/>
          <w:sz w:val="24"/>
          <w:szCs w:val="24"/>
        </w:rPr>
        <w:t>ПОЛОЖЕНИЕ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о порядке сообщения лицами, замещающими муниципальные должности и должности муниципальной службы 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от его реализации.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2. Для целей настоящего Положения используются следующие понятия: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председателем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заместителем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лицами, замещающими муниципальные должности и  муниципальными служащими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от физических (юридических) лиц, которые осуществляют дарение, исходя из должностного положения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председателем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заместителем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 лицами, замещающими муниципальные должности и муниципальными служащими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лично или через посредника от физических (юридических) лиц подарка в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p w:rsidR="00FE2172" w:rsidRPr="00FE2172" w:rsidRDefault="00FE2172" w:rsidP="00FE21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3.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заместитель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лица, замещающие муниципальные должности, муниципальные служащие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не вправе получать подарки от </w:t>
      </w:r>
      <w:r w:rsidRPr="00FE2172">
        <w:rPr>
          <w:rFonts w:ascii="Arial" w:eastAsia="Times New Roman" w:hAnsi="Arial" w:cs="Arial"/>
          <w:color w:val="000000"/>
          <w:sz w:val="24"/>
          <w:szCs w:val="24"/>
        </w:rPr>
        <w:lastRenderedPageBreak/>
        <w:t>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E2172" w:rsidRPr="00FE2172" w:rsidRDefault="00FE2172" w:rsidP="00FE21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4.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заместитель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лица, замещающие муниципальные должности, муниципальные служащие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с исполнением ими служебных (должностных) обязанностей.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55"/>
      <w:bookmarkEnd w:id="2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hyperlink w:anchor="P103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Уведомление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 (приложение N 1) представляется не позднее трех рабочих дней со дня получения подарка в Собрание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56"/>
      <w:bookmarkEnd w:id="3"/>
      <w:r w:rsidRPr="00FE2172">
        <w:rPr>
          <w:rFonts w:ascii="Arial" w:eastAsia="Times New Roman" w:hAnsi="Arial" w:cs="Arial"/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При невозможности подачи уведомления в сроки, указанные в </w:t>
      </w:r>
      <w:hyperlink w:anchor="P55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абзацах первом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w:anchor="P56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втором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пункта, по причине, не зависящей от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заместителя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 лиц, замещающих муниципальные должности и муниципальных служащих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района, оно представляется не позднее следующего дня после ее устранения.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 в </w:t>
      </w:r>
      <w:hyperlink w:anchor="P16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журнале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регистрации уведомлений (приложение N 2), другой экземпляр остается 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60"/>
      <w:bookmarkEnd w:id="4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Подарок, стоимость которого подтверждается документами и превышает 3 (три) тысячи рублей, либо стоимость которого получившему его лицу неизвестна, сдается материально ответственному лицу, которое принимает его на хранение не позднее пяти рабочих дней со дня регистрации уведомления в журнале регистрации уведомлений по </w:t>
      </w:r>
      <w:hyperlink w:anchor="P225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акту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приема-передачи подарка (приложение N 3).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Акт приема-передачи подарка регистрируется в </w:t>
      </w:r>
      <w:hyperlink w:anchor="P26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журнале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учета актов приема-передачи (возврата) подарков (приложение N 4).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8. Подарок, полученный председателем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заместителем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Алтайского края независимо от его стоимости, подлежит передаче на хранение в порядке, предусмотренном </w:t>
      </w:r>
      <w:hyperlink w:anchor="P60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пунктом 7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9. 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10. В целях принятия к бухгалтерскому учету подарка в порядке, установленном </w:t>
      </w:r>
      <w:r w:rsidRPr="00FE2172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11. Если стоимость подарка превышает 3 (три) тысячи рублей, он подлежит включению в Реестр объектов муниципальной собственности муниципального образования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Долговский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Подарок возвращается сдавшему его лицу по </w:t>
      </w:r>
      <w:hyperlink w:anchor="P328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акту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возврата подарка в случае, если его стоимость не превышает 3 (три) тысячи рублей (приложение N 5).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67"/>
      <w:bookmarkEnd w:id="5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12. Лицо, сдавшее подарок, может его выкупить, направив на имя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</w:t>
      </w:r>
      <w:hyperlink w:anchor="P36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заявление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о выкупе подарка (приложение N 6) не позднее двух месяцев со дня сдачи подарка.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передается в комиссию по оценке подарков, создаваемую для этой цели распоряжением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 Состав комиссии определяется председателем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самостоятельно.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Заседания считаются правомочными, если на них присутствуют не менее половины ее членов.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73"/>
      <w:bookmarkEnd w:id="6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13.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по оценке подарков в течение трех месяцев со дня поступления указанного в </w:t>
      </w:r>
      <w:hyperlink w:anchor="P6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пункте 12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13.1.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 от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заместителя председателя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лиц, замещающих муниципальные должности и муниципальных служащих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указанное в </w:t>
      </w:r>
      <w:hyperlink w:anchor="P67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пункте 12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Положения, либо в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</w:t>
      </w:r>
      <w:proofErr w:type="gram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драгоценных камней Российской Федерации.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14. Подарок, в отношении которого не поступило заявление о выкупе подарка, с учетом заключения комиссии о целесообразности использования подарка может использоваться для обеспечения деятельности Собрания депутатов Долговского </w:t>
      </w:r>
      <w:r w:rsidRPr="00FE217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сельсовета </w:t>
      </w:r>
      <w:proofErr w:type="spellStart"/>
      <w:r w:rsidRPr="00FE2172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76"/>
      <w:bookmarkEnd w:id="7"/>
      <w:r w:rsidRPr="00FE2172">
        <w:rPr>
          <w:rFonts w:ascii="Arial" w:eastAsia="Times New Roman" w:hAnsi="Arial" w:cs="Arial"/>
          <w:color w:val="000000"/>
          <w:sz w:val="24"/>
          <w:szCs w:val="24"/>
        </w:rPr>
        <w:t>15.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действующим законодательством.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73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пунктами 13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w:anchor="P76" w:history="1">
        <w:r w:rsidRPr="00FE2172">
          <w:rPr>
            <w:rFonts w:ascii="Arial" w:eastAsia="Times New Roman" w:hAnsi="Arial" w:cs="Arial"/>
            <w:color w:val="000000"/>
            <w:sz w:val="24"/>
            <w:szCs w:val="24"/>
          </w:rPr>
          <w:t>15</w:t>
        </w:r>
      </w:hyperlink>
      <w:r w:rsidRPr="00FE217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Положения,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17.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действующим законодательством.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2172">
        <w:rPr>
          <w:rFonts w:ascii="Arial" w:eastAsia="Times New Roman" w:hAnsi="Arial" w:cs="Arial"/>
          <w:color w:val="000000"/>
          <w:sz w:val="24"/>
          <w:szCs w:val="24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1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 Собрании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Pr="00FE2172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Pr="00FE2172">
        <w:rPr>
          <w:rFonts w:ascii="Arial" w:eastAsia="Times New Roman" w:hAnsi="Arial" w:cs="Arial"/>
          <w:sz w:val="24"/>
          <w:szCs w:val="24"/>
        </w:rPr>
        <w:t xml:space="preserve">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Председателю Собрания депутатов 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Долговского сельсовета 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района Алтайского края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от </w:t>
      </w:r>
      <w:r w:rsidRPr="00FE2172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(Ф.И.О.,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8" w:name="P103"/>
      <w:bookmarkEnd w:id="8"/>
      <w:r w:rsidRPr="00FE2172">
        <w:rPr>
          <w:rFonts w:ascii="Arial" w:eastAsia="Times New Roman" w:hAnsi="Arial" w:cs="Arial"/>
          <w:sz w:val="24"/>
          <w:szCs w:val="24"/>
        </w:rPr>
        <w:t>Уведомление о получении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"___"______________ 20__ г.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Извещаю  о  получении 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 _________________________________ на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          (дата получения)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78"/>
        <w:gridCol w:w="2551"/>
        <w:gridCol w:w="1646"/>
        <w:gridCol w:w="1541"/>
      </w:tblGrid>
      <w:tr w:rsidR="00FE2172" w:rsidRPr="00FE2172" w:rsidTr="0076708C">
        <w:tc>
          <w:tcPr>
            <w:tcW w:w="62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217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67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255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4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54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 xml:space="preserve">Стоимость в рублях </w:t>
            </w:r>
            <w:hyperlink w:anchor="P148" w:history="1">
              <w:r w:rsidRPr="00FE2172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E2172" w:rsidRPr="00FE2172" w:rsidTr="0076708C">
        <w:tc>
          <w:tcPr>
            <w:tcW w:w="62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62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67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62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3302" w:type="dxa"/>
            <w:gridSpan w:val="2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Приложение: _________________________________________ на ______ листах.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(наименование документа)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Лицо, представившее уведомление 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(подпись) (расшифровка подписи)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"___"______________ 20__ г.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Лицо, принявшее уведомление 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(подпись) (расшифровка подписи)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"___" ______________ 20__ г.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от "___" ______________ 20__ г.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--------------------------------</w:t>
      </w:r>
    </w:p>
    <w:p w:rsidR="00FE2172" w:rsidRPr="00FE2172" w:rsidRDefault="00FE2172" w:rsidP="00FE217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9" w:name="P148"/>
      <w:bookmarkEnd w:id="9"/>
      <w:r w:rsidRPr="00FE2172">
        <w:rPr>
          <w:rFonts w:ascii="Arial" w:eastAsia="Times New Roman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2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 Собрании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0" w:name="P167"/>
      <w:bookmarkEnd w:id="10"/>
      <w:r w:rsidRPr="00FE2172">
        <w:rPr>
          <w:rFonts w:ascii="Arial" w:eastAsia="Times New Roman" w:hAnsi="Arial" w:cs="Arial"/>
          <w:sz w:val="24"/>
          <w:szCs w:val="24"/>
        </w:rPr>
        <w:t>ЖУРНАЛ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РЕГИСТРАЦИИ УВЕДОМЛЕНИЙ О ПОЛУЧЕНИИ ПОДАРКОВ В СВЯЗИ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С ДОЛЖНОСТНЫМ ПОЛОЖЕНИЕМ ИЛИ ИСПОЛНЕНИЕМ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(ДОЛЖНОСТНЫХ) ОБЯЗАННОСТЕЙ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587"/>
        <w:gridCol w:w="1020"/>
        <w:gridCol w:w="1066"/>
        <w:gridCol w:w="1417"/>
        <w:gridCol w:w="1077"/>
        <w:gridCol w:w="1077"/>
      </w:tblGrid>
      <w:tr w:rsidR="00FE2172" w:rsidRPr="00FE2172" w:rsidTr="0076708C">
        <w:tc>
          <w:tcPr>
            <w:tcW w:w="85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96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8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102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106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 xml:space="preserve">Стоимость подарка рублей </w:t>
            </w:r>
            <w:hyperlink w:anchor="P206" w:history="1">
              <w:r w:rsidRPr="00FE2172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Подпись лица, представившего уведомление</w:t>
            </w:r>
          </w:p>
        </w:tc>
      </w:tr>
      <w:tr w:rsidR="00FE2172" w:rsidRPr="00FE2172" w:rsidTr="0076708C">
        <w:tc>
          <w:tcPr>
            <w:tcW w:w="85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85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85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--------------------------------</w:t>
      </w:r>
    </w:p>
    <w:p w:rsidR="00FE2172" w:rsidRPr="00FE2172" w:rsidRDefault="00FE2172" w:rsidP="00FE217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1" w:name="P206"/>
      <w:bookmarkEnd w:id="11"/>
      <w:r w:rsidRPr="00FE2172">
        <w:rPr>
          <w:rFonts w:ascii="Arial" w:eastAsia="Times New Roman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3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 Собрании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2" w:name="P225"/>
      <w:bookmarkEnd w:id="12"/>
      <w:r w:rsidRPr="00FE2172">
        <w:rPr>
          <w:rFonts w:ascii="Arial" w:eastAsia="Times New Roman" w:hAnsi="Arial" w:cs="Arial"/>
          <w:sz w:val="24"/>
          <w:szCs w:val="24"/>
        </w:rPr>
        <w:t>АКТ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приема-передачи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"___"_____________ 20__ г.                                 N 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(Ф.И.О.,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в  соответствии  с  Гражданским  </w:t>
      </w:r>
      <w:hyperlink r:id="rId12" w:history="1">
        <w:r w:rsidRPr="00FE2172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FE2172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Федеральным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3" w:history="1">
        <w:r w:rsidRPr="00FE2172">
          <w:rPr>
            <w:rFonts w:ascii="Arial" w:eastAsia="Times New Roman" w:hAnsi="Arial" w:cs="Arial"/>
            <w:color w:val="0000FF"/>
            <w:sz w:val="24"/>
            <w:szCs w:val="24"/>
          </w:rPr>
          <w:t>законом</w:t>
        </w:r>
      </w:hyperlink>
      <w:r w:rsidRPr="00FE2172">
        <w:rPr>
          <w:rFonts w:ascii="Arial" w:eastAsia="Times New Roman" w:hAnsi="Arial" w:cs="Arial"/>
          <w:sz w:val="24"/>
          <w:szCs w:val="24"/>
        </w:rPr>
        <w:t xml:space="preserve">   от   02.03.2007  N  25-ФЗ  "О  муниципальной  службе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Российской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Федерации"   передает,   а   материально ответственное   лицо  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(Ф.И.О.,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принимает на хранение подаро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к(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), полученный(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ые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 в связи с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(указывается мероприятие и дата)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Наименование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Приложение: __________________________________ на _______ листах.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Сдал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П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>ринял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        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(подпись, Ф.И.О.)                       (подпись, Ф.И.О.)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4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в Собрании депутатов Долговского сельсовета 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3" w:name="P267"/>
      <w:bookmarkEnd w:id="13"/>
      <w:r w:rsidRPr="00FE2172">
        <w:rPr>
          <w:rFonts w:ascii="Arial" w:eastAsia="Times New Roman" w:hAnsi="Arial" w:cs="Arial"/>
          <w:sz w:val="24"/>
          <w:szCs w:val="24"/>
        </w:rPr>
        <w:t>ЖУРНАЛ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УЧЕТА АКТОВ ПРИЕМА-ПЕРЕДАЧИ (ВОЗВРАТА)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>ОВ)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1077"/>
        <w:gridCol w:w="1088"/>
        <w:gridCol w:w="1134"/>
        <w:gridCol w:w="797"/>
        <w:gridCol w:w="1304"/>
        <w:gridCol w:w="792"/>
        <w:gridCol w:w="845"/>
        <w:gridCol w:w="695"/>
      </w:tblGrid>
      <w:tr w:rsidR="00FE2172" w:rsidRPr="00FE2172" w:rsidTr="0076708C">
        <w:tc>
          <w:tcPr>
            <w:tcW w:w="56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217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3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Наименование и вид подарка</w:t>
            </w:r>
          </w:p>
        </w:tc>
        <w:tc>
          <w:tcPr>
            <w:tcW w:w="108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Регистрационный номер и дата регистрации уведомления</w:t>
            </w:r>
          </w:p>
        </w:tc>
        <w:tc>
          <w:tcPr>
            <w:tcW w:w="113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отчество, должность лица, сдавшего подарок</w:t>
            </w:r>
          </w:p>
        </w:tc>
        <w:tc>
          <w:tcPr>
            <w:tcW w:w="79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отчество, должность лица, принявшего подарок</w:t>
            </w:r>
          </w:p>
        </w:tc>
        <w:tc>
          <w:tcPr>
            <w:tcW w:w="792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  <w:tc>
          <w:tcPr>
            <w:tcW w:w="84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Дата возврата подарка</w:t>
            </w:r>
          </w:p>
        </w:tc>
        <w:tc>
          <w:tcPr>
            <w:tcW w:w="69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2172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</w:tr>
      <w:tr w:rsidR="00FE2172" w:rsidRPr="00FE2172" w:rsidTr="0076708C">
        <w:tc>
          <w:tcPr>
            <w:tcW w:w="56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56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172" w:rsidRPr="00FE2172" w:rsidTr="0076708C">
        <w:tc>
          <w:tcPr>
            <w:tcW w:w="56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:rsidR="00FE2172" w:rsidRPr="00FE2172" w:rsidRDefault="00FE2172" w:rsidP="00FE21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5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4" w:name="P328"/>
      <w:bookmarkEnd w:id="14"/>
      <w:r w:rsidRPr="00FE2172">
        <w:rPr>
          <w:rFonts w:ascii="Arial" w:eastAsia="Times New Roman" w:hAnsi="Arial" w:cs="Arial"/>
          <w:sz w:val="24"/>
          <w:szCs w:val="24"/>
        </w:rPr>
        <w:t>АКТ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возврата подарк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"___" __________ 20__ г.                                 N 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Материально ответственное  лицо  Собрания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(Ф.И.О.,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возвращает 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(Ф.И.О.,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подаро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к(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),  переданный  на  хранение  по акту приема-передачи подарка(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от _______________ N ______.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Выдал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 xml:space="preserve"> ______________________________ П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>ринял 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(подпись, расшифровка подписи)        (подпись, расшифровка подписи)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lastRenderedPageBreak/>
        <w:t>Приложение N 6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к Положению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 порядке сообщения лицами,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замещающими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муниципальные должности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и должности муниципальной службы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в Собрании депутатов Долговского сельсовета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края, о получении подарка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с их должностным положением или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исполнением ими 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служебных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(должностных)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обязанностей, сдачи и оценки подарка,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ind w:hanging="4680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вырученных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от его реализации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Председателю Собрания депутатов Долговского сельсовета </w:t>
      </w:r>
    </w:p>
    <w:p w:rsid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от 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FE2172">
        <w:rPr>
          <w:rFonts w:ascii="Arial" w:eastAsia="Times New Roman" w:hAnsi="Arial" w:cs="Arial"/>
          <w:sz w:val="24"/>
          <w:szCs w:val="24"/>
        </w:rPr>
        <w:t xml:space="preserve">  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(Ф.И.О. лица, сдавшего подаро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к(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FE2172">
        <w:rPr>
          <w:rFonts w:ascii="Arial" w:eastAsia="Times New Roman" w:hAnsi="Arial" w:cs="Arial"/>
          <w:sz w:val="24"/>
          <w:szCs w:val="24"/>
        </w:rPr>
        <w:t xml:space="preserve">  занимаемая должность)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5" w:name="P367"/>
      <w:bookmarkEnd w:id="15"/>
      <w:r w:rsidRPr="00FE2172">
        <w:rPr>
          <w:rFonts w:ascii="Arial" w:eastAsia="Times New Roman" w:hAnsi="Arial" w:cs="Arial"/>
          <w:sz w:val="24"/>
          <w:szCs w:val="24"/>
        </w:rPr>
        <w:t>ЗАЯВЛЕНИЕ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Информирую  Вас о намерении выкупить подаро</w:t>
      </w:r>
      <w:proofErr w:type="gramStart"/>
      <w:r w:rsidRPr="00FE2172">
        <w:rPr>
          <w:rFonts w:ascii="Arial" w:eastAsia="Times New Roman" w:hAnsi="Arial" w:cs="Arial"/>
          <w:sz w:val="24"/>
          <w:szCs w:val="24"/>
        </w:rPr>
        <w:t>к(</w:t>
      </w:r>
      <w:proofErr w:type="spellStart"/>
      <w:proofErr w:type="gramEnd"/>
      <w:r w:rsidRPr="00FE2172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), полученный(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ые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>) мною в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связи   с  протокольным  мероприятием,  служебной  командировкой  и  другим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официальным мероприятием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(указывается мероприятие и дата),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E2172">
        <w:rPr>
          <w:rFonts w:ascii="Arial" w:eastAsia="Times New Roman" w:hAnsi="Arial" w:cs="Arial"/>
          <w:sz w:val="24"/>
          <w:szCs w:val="24"/>
        </w:rPr>
        <w:t>переданный</w:t>
      </w:r>
      <w:proofErr w:type="gramEnd"/>
      <w:r w:rsidRPr="00FE2172">
        <w:rPr>
          <w:rFonts w:ascii="Arial" w:eastAsia="Times New Roman" w:hAnsi="Arial" w:cs="Arial"/>
          <w:sz w:val="24"/>
          <w:szCs w:val="24"/>
        </w:rPr>
        <w:t xml:space="preserve">  на  хранение  в Собрании депутатов Долговского сельсовета </w:t>
      </w:r>
      <w:proofErr w:type="spellStart"/>
      <w:r w:rsidRPr="00FE2172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FE2172">
        <w:rPr>
          <w:rFonts w:ascii="Arial" w:eastAsia="Times New Roman" w:hAnsi="Arial" w:cs="Arial"/>
          <w:sz w:val="24"/>
          <w:szCs w:val="24"/>
        </w:rPr>
        <w:t xml:space="preserve"> района Алтайского края по акту приема-передачи от __________________ N _________.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               _______________________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17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(подпись, дата)</w:t>
      </w: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172" w:rsidRPr="00FE2172" w:rsidRDefault="00FE2172" w:rsidP="00FE21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C7609" w:rsidRPr="00FE2172" w:rsidRDefault="005C7609" w:rsidP="00FE2172">
      <w:pPr>
        <w:rPr>
          <w:rFonts w:ascii="Arial" w:hAnsi="Arial" w:cs="Arial"/>
          <w:sz w:val="24"/>
          <w:szCs w:val="24"/>
        </w:rPr>
      </w:pPr>
    </w:p>
    <w:sectPr w:rsidR="005C7609" w:rsidRPr="00FE2172" w:rsidSect="00FE217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9E4"/>
    <w:multiLevelType w:val="hybridMultilevel"/>
    <w:tmpl w:val="738C200A"/>
    <w:lvl w:ilvl="0" w:tplc="A446C36C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BEA"/>
    <w:rsid w:val="000053B3"/>
    <w:rsid w:val="00044E2E"/>
    <w:rsid w:val="0008506F"/>
    <w:rsid w:val="00247649"/>
    <w:rsid w:val="002D6740"/>
    <w:rsid w:val="00423163"/>
    <w:rsid w:val="004C07FE"/>
    <w:rsid w:val="004F231D"/>
    <w:rsid w:val="00555E41"/>
    <w:rsid w:val="005C7609"/>
    <w:rsid w:val="006F1BEA"/>
    <w:rsid w:val="00793314"/>
    <w:rsid w:val="008D09DE"/>
    <w:rsid w:val="00976EF8"/>
    <w:rsid w:val="009B6AAC"/>
    <w:rsid w:val="00AD1F62"/>
    <w:rsid w:val="00B769A7"/>
    <w:rsid w:val="00B96CCC"/>
    <w:rsid w:val="00D401AA"/>
    <w:rsid w:val="00DC5384"/>
    <w:rsid w:val="00EC776B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A"/>
  </w:style>
  <w:style w:type="paragraph" w:styleId="1">
    <w:name w:val="heading 1"/>
    <w:basedOn w:val="a"/>
    <w:next w:val="a"/>
    <w:link w:val="10"/>
    <w:qFormat/>
    <w:rsid w:val="00976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76E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EF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6EF8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consplusnormal">
    <w:name w:val="consplusnormal"/>
    <w:basedOn w:val="a"/>
    <w:rsid w:val="008D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219B6BA4E1003E1DCF14B3FD6874C376298B4239077A3907A1B344B527D00EC952DECCC47ADFBBA0BC16140C424D4CAA36070D26J5K" TargetMode="External"/><Relationship Id="rId13" Type="http://schemas.openxmlformats.org/officeDocument/2006/relationships/hyperlink" Target="consultantplus://offline/ref=17219B6BA4E1003E1DCF14B3FD6874C376298B4239077A3907A1B344B527D00EDB5286C9C37095EAE0F719140F25J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7219B6BA4E1003E1DCF14B3FD6874C3762F8B453A0B7A3907A1B344B527D00EC952DEC5C37382EAE0E24F4549094048B52A070B7B54B7402BJ9K" TargetMode="External"/><Relationship Id="rId12" Type="http://schemas.openxmlformats.org/officeDocument/2006/relationships/hyperlink" Target="consultantplus://offline/ref=17219B6BA4E1003E1DCF14B3FD6874C376298B423D0B7A3907A1B344B527D00EDB5286C9C37095EAE0F719140F25J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219B6BA4E1003E1DCF0ABEEB042ACF7326D54C370D736753FEE819E22EDA598E1D8795872486EAE5F71B10135E4D4A2BJ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219B6BA4E1003E1DCF14B3FD6874C374258C453A097A3907A1B344B527D00EC952DEC5C3718BEFE5E24F4549094048B52A070B7B54B7402BJ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219B6BA4E1003E1DCF14B3FD6874C376298B42380A7A3907A1B344B527D00EC952DEC0C67ADFBBA0BC16140C424D4CAA36070D26J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C9D4-D597-4B69-AED3-8111FC7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18</cp:revision>
  <cp:lastPrinted>2019-04-25T07:38:00Z</cp:lastPrinted>
  <dcterms:created xsi:type="dcterms:W3CDTF">2018-05-24T04:47:00Z</dcterms:created>
  <dcterms:modified xsi:type="dcterms:W3CDTF">2020-08-07T05:32:00Z</dcterms:modified>
</cp:coreProperties>
</file>