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1" w:rsidRPr="00FC7013" w:rsidRDefault="004B5E31" w:rsidP="004B5E3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4B5E31" w:rsidRPr="00FC7013" w:rsidRDefault="004B5E31" w:rsidP="004B5E3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</w:t>
      </w:r>
    </w:p>
    <w:p w:rsidR="004B5E31" w:rsidRPr="00FC7013" w:rsidRDefault="004B5E31" w:rsidP="004B5E3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4B5E31" w:rsidRPr="00FC7013" w:rsidRDefault="004B5E31" w:rsidP="004B5E31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4B5E31" w:rsidRPr="00FC7013" w:rsidRDefault="004B5E31" w:rsidP="004B5E31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FC7013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4B5E31" w:rsidRPr="00FC7013" w:rsidRDefault="004B5E31" w:rsidP="004B5E31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4B5E31" w:rsidRPr="00FC7013" w:rsidRDefault="004B5E31" w:rsidP="004B5E31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FC7013">
        <w:rPr>
          <w:rFonts w:ascii="Times New Roman" w:eastAsia="Calibri" w:hAnsi="Times New Roman"/>
          <w:b/>
          <w:sz w:val="28"/>
          <w:szCs w:val="28"/>
        </w:rPr>
        <w:t>15.11.2021 №    35-1                                                                               с. Долгово</w:t>
      </w:r>
    </w:p>
    <w:p w:rsidR="004B5E31" w:rsidRPr="00463153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bookmarkStart w:id="0" w:name="_GoBack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Об утверждении прогноза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социально-экономического развития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Долговского  сельсовета на 202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2</w:t>
      </w: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-202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4</w:t>
      </w: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год </w:t>
      </w:r>
    </w:p>
    <w:bookmarkEnd w:id="0"/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     В соответствии с Федеральным законом от 06.10.2003 года 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Долговский</w:t>
      </w:r>
      <w:proofErr w:type="spellEnd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сельсовет </w:t>
      </w:r>
      <w:proofErr w:type="spellStart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Новичихинского</w:t>
      </w:r>
      <w:proofErr w:type="spellEnd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 района. ПОСТАНОВЛЯЮ: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      1. Утвердить  прилагаемый прогноз социально-экономического развития Долговского сельсовета  на 202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2</w:t>
      </w: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-202</w:t>
      </w:r>
      <w:r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4</w:t>
      </w: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год.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      2. Настоящее постановление вступает в силу со дня его подписания.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      3. </w:t>
      </w:r>
      <w:proofErr w:type="gramStart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Контроль за</w:t>
      </w:r>
      <w:proofErr w:type="gramEnd"/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  <w:r w:rsidRPr="00FC7013"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  <w:t>Глава сельсовета                                                                  А.Д. Пеньков</w:t>
      </w: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Pr="00FC7013" w:rsidRDefault="004B5E31" w:rsidP="004B5E3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pacing w:val="10"/>
          <w:sz w:val="28"/>
          <w:szCs w:val="28"/>
          <w:lang w:eastAsia="ru-RU"/>
        </w:rPr>
      </w:pPr>
    </w:p>
    <w:p w:rsidR="004B5E31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B5E31" w:rsidRPr="00A465C9" w:rsidRDefault="004B5E31" w:rsidP="004B5E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ПРОГНОЗ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СОЦИАЛЬНО-ЭКОНОМИЧЕСКОГО РАЗВИТИЯ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ДОЛГОВСКОГО  СЕЛЬСОВЕТА 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НА 2022-2024 ГОД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Прогноз социально-экономического развития Долговского  сельсовета составлен в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Долговского  сельсовета с учетом задач, поставленных Президентом России в Бюджетном послании Федеральному Собранию Российской Федерации о бюджетной политике, и требованиями налоговой политики.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 xml:space="preserve">В представленном прогнозе социально-экономического развития Долговского  сельсовета учтены условия функционирования экономики Российской Федерации на прогнозируемый период, основные индексы-дефляторы, утвержденные </w:t>
      </w:r>
      <w:r w:rsidRPr="00FC7013">
        <w:rPr>
          <w:rFonts w:ascii="Times New Roman" w:hAnsi="Times New Roman"/>
          <w:sz w:val="28"/>
          <w:szCs w:val="28"/>
          <w:lang w:eastAsia="ru-RU"/>
        </w:rPr>
        <w:t xml:space="preserve">на 2022-2024г. г Прогноз 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социально-экономического развития Долговского  сельсовета на 2022г. 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 </w:t>
      </w:r>
      <w:proofErr w:type="gramEnd"/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и прогноз социально-экономического развития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Долговский</w:t>
      </w:r>
      <w:proofErr w:type="spellEnd"/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сельсовет – </w:t>
      </w:r>
      <w:r w:rsidRPr="00A465C9">
        <w:rPr>
          <w:rFonts w:ascii="Times New Roman" w:hAnsi="Times New Roman"/>
          <w:sz w:val="28"/>
          <w:szCs w:val="28"/>
          <w:lang w:eastAsia="ru-RU"/>
        </w:rPr>
        <w:t>включает в себя два населенных пункта: село Долгово, поселок Ильинский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 Ведущее место в структуре экономики занимает сельское хозяйство. Немаловажное влияние на экономику поселения оказывают предприятия торговли. Общая протяженность дорог в границах населенных пунктов общего пользования составляет 54,5 км. Налажено регулярное автобусное сообщение всех населённых пунктов с районным центром 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. Новичиха. Численность сельского поселения на 01.01.2022г. составила 621 человек, из них 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. Долгово 523 человека, пос. Ильинский 98 человека. Демографическая ситуация в поселении продолжает оставаться сложной. 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Налоговые поступления в бюджет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Налоговая политика 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sz w:val="28"/>
          <w:szCs w:val="28"/>
          <w:lang w:eastAsia="ru-RU"/>
        </w:rPr>
        <w:tab/>
        <w:t xml:space="preserve">Доходы бюджета Долговского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Алтайского края. В бюджет поселения зачисляются налоговые доходы от следующих местных налогов, устанавливаемых представительным </w:t>
      </w:r>
      <w:r w:rsidRPr="00A465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органом поселения в соответствии с законодательством Российской Федерации о налогах и сборах: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  <w:t xml:space="preserve">земельного налога – по нормативу 100 процентов;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  <w:t xml:space="preserve">налога на имущество физических лиц – по нормативу 100 процентов.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  <w:t xml:space="preserve">налога на доходы физических лиц – по нормативу 2 процентов;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  <w:t xml:space="preserve">единого сельскохозяйственного налога – по нормативу 30 процентов.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Прогноз поступления налоговых и неналоговых доходов в бюджет 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Долговского  сельского поселения на 2022-2024 год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629"/>
        <w:gridCol w:w="1620"/>
        <w:gridCol w:w="1620"/>
        <w:gridCol w:w="1635"/>
      </w:tblGrid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План поступлений на 2020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Прогноз поступлений на 2022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Прогноз поступлений на 2023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Прогноз поступлений на 2024 год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(исходя из фактических поступлений)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670,0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690,1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710,8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47,7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37,1</w:t>
            </w:r>
          </w:p>
        </w:tc>
      </w:tr>
      <w:tr w:rsidR="004B5E31" w:rsidRPr="00A465C9" w:rsidTr="00746E4D">
        <w:trPr>
          <w:tblCellSpacing w:w="15" w:type="dxa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815,00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841,0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866,00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5E31" w:rsidRPr="00A465C9" w:rsidRDefault="004B5E31" w:rsidP="00746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892,0</w:t>
            </w:r>
          </w:p>
        </w:tc>
      </w:tr>
    </w:tbl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</w:r>
    </w:p>
    <w:p w:rsidR="004B5E31" w:rsidRPr="00A465C9" w:rsidRDefault="004B5E31" w:rsidP="004B5E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 xml:space="preserve">Прогноз по доходам бюджета поселения на 2022 год рассчитан с учетом прогноза социально-экономического развития Долговского  сельского поселения, основных направлений налоговой и бюджетной политики на </w:t>
      </w:r>
      <w:r w:rsidRPr="00A465C9">
        <w:rPr>
          <w:rFonts w:ascii="Times New Roman" w:hAnsi="Times New Roman"/>
          <w:sz w:val="28"/>
          <w:szCs w:val="28"/>
          <w:lang w:eastAsia="ru-RU"/>
        </w:rPr>
        <w:lastRenderedPageBreak/>
        <w:t>2021г., изменений налогового и бюджетного</w:t>
      </w:r>
      <w:r w:rsidRPr="00A465C9">
        <w:rPr>
          <w:rFonts w:ascii="Times New Roman" w:hAnsi="Times New Roman"/>
          <w:sz w:val="28"/>
          <w:szCs w:val="28"/>
          <w:lang w:eastAsia="ru-RU"/>
        </w:rPr>
        <w:t> </w:t>
      </w:r>
      <w:r w:rsidRPr="00A465C9">
        <w:rPr>
          <w:rFonts w:ascii="Times New Roman" w:hAnsi="Times New Roman"/>
          <w:sz w:val="28"/>
          <w:szCs w:val="28"/>
          <w:lang w:eastAsia="ru-RU"/>
        </w:rPr>
        <w:t xml:space="preserve">законодательства. </w:t>
      </w:r>
      <w:r w:rsidRPr="00A465C9">
        <w:rPr>
          <w:rFonts w:ascii="Times New Roman" w:hAnsi="Times New Roman"/>
          <w:sz w:val="28"/>
          <w:szCs w:val="28"/>
          <w:lang w:eastAsia="ru-RU"/>
        </w:rPr>
        <w:br/>
      </w:r>
      <w:r w:rsidRPr="00A465C9">
        <w:rPr>
          <w:rFonts w:ascii="Times New Roman" w:hAnsi="Times New Roman"/>
          <w:sz w:val="28"/>
          <w:szCs w:val="28"/>
          <w:lang w:eastAsia="ru-RU"/>
        </w:rPr>
        <w:tab/>
        <w:t>Наибольшая доля поступлений в общей сумме налоговых доходов поселения приходится на земельный налог.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 из других бюджетов</w:t>
      </w:r>
    </w:p>
    <w:p w:rsidR="004B5E31" w:rsidRPr="00A465C9" w:rsidRDefault="004B5E31" w:rsidP="004B5E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sz w:val="28"/>
          <w:szCs w:val="28"/>
          <w:lang w:eastAsia="ru-RU"/>
        </w:rPr>
        <w:t>системы Российской Федерации</w:t>
      </w:r>
    </w:p>
    <w:p w:rsidR="004B5E31" w:rsidRPr="00A465C9" w:rsidRDefault="004B5E31" w:rsidP="004B5E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620"/>
        <w:gridCol w:w="1440"/>
      </w:tblGrid>
      <w:tr w:rsidR="004B5E31" w:rsidRPr="00A465C9" w:rsidTr="00746E4D">
        <w:trPr>
          <w:trHeight w:val="24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4B5E31" w:rsidRPr="00A465C9" w:rsidTr="00746E4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4B5E31" w:rsidRPr="00A465C9" w:rsidTr="00746E4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из других бюджетов бюджетной системы Российской Федерации: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2375,6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2375,6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2375,6</w:t>
            </w:r>
          </w:p>
        </w:tc>
      </w:tr>
      <w:tr w:rsidR="004B5E31" w:rsidRPr="00A465C9" w:rsidTr="00746E4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- дотация на выравнивание уровня бюджетного обеспечения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2060,5</w:t>
            </w:r>
          </w:p>
        </w:tc>
      </w:tr>
      <w:tr w:rsidR="004B5E31" w:rsidRPr="00A465C9" w:rsidTr="00746E4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- субвенция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4B5E31" w:rsidRPr="00A465C9" w:rsidTr="00746E4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- субсидия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>Общая сумма безвозмездных поступлений в 2022 году составит 2375,6 тыс. рублей, на плановый период 2023-2024г. – 2375,6 тыс. рублей и 2375,6 тыс. рублей соответственно.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>Бюджет Долговского сельсовета определен на 2022 год по доходам в объеме 3216,6 тыс. рублей на плановый период 2023-2024г. – 3241,6 тыс. рублей и 3267,6 тыс. рублей.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sz w:val="28"/>
          <w:szCs w:val="28"/>
          <w:lang w:eastAsia="ru-RU"/>
        </w:rPr>
        <w:t>Расходы Долговского сельсовета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208"/>
        <w:gridCol w:w="2210"/>
        <w:gridCol w:w="2210"/>
      </w:tblGrid>
      <w:tr w:rsidR="004B5E31" w:rsidRPr="00A465C9" w:rsidTr="00746E4D"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 бюджета</w:t>
            </w:r>
          </w:p>
        </w:tc>
      </w:tr>
      <w:tr w:rsidR="004B5E31" w:rsidRPr="00A465C9" w:rsidTr="00746E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2121,6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2137,6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2156,5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74,9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163,0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391,8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392,1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413,1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418,8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425,4</w:t>
            </w:r>
          </w:p>
        </w:tc>
      </w:tr>
      <w:tr w:rsidR="004B5E31" w:rsidRPr="00A465C9" w:rsidTr="00746E4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31" w:rsidRPr="00A465C9" w:rsidRDefault="004B5E31" w:rsidP="00746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5C9">
              <w:rPr>
                <w:rFonts w:ascii="Times New Roman" w:hAnsi="Times New Roman"/>
                <w:sz w:val="28"/>
                <w:szCs w:val="28"/>
                <w:lang w:eastAsia="ru-RU"/>
              </w:rPr>
              <w:t>5,4</w:t>
            </w:r>
          </w:p>
        </w:tc>
      </w:tr>
    </w:tbl>
    <w:p w:rsidR="004B5E31" w:rsidRPr="00A465C9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>Общая сумма расходов в 2022 году составит 3216,6 тыс. рублей, на плановый период 2022-2023г. – 3241,4 тыс. рублей и 3271,8 тыс. рублей соответственно.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</w:t>
      </w:r>
    </w:p>
    <w:p w:rsidR="004B5E31" w:rsidRPr="00A465C9" w:rsidRDefault="004B5E31" w:rsidP="004B5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>Достижение высокого уровня надежности и устойчивости функционирования жилищно-коммунального комплекса поселения.</w:t>
      </w:r>
    </w:p>
    <w:p w:rsidR="004B5E31" w:rsidRPr="00A465C9" w:rsidRDefault="004B5E31" w:rsidP="004B5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>Улучшение качества предоставляемых жилищно-коммунальных услуг.</w:t>
      </w:r>
    </w:p>
    <w:p w:rsidR="004B5E31" w:rsidRPr="00A465C9" w:rsidRDefault="004B5E31" w:rsidP="004B5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>Улучшение качества дорог.</w:t>
      </w:r>
    </w:p>
    <w:p w:rsidR="004B5E31" w:rsidRPr="00A465C9" w:rsidRDefault="004B5E31" w:rsidP="004B5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>Благоустройство, обустройство свалок.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Укрепление и сохранение здоровья населения, </w:t>
      </w:r>
    </w:p>
    <w:p w:rsidR="004B5E31" w:rsidRPr="00A465C9" w:rsidRDefault="004B5E31" w:rsidP="004B5E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здорового образа жизни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 xml:space="preserve"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 xml:space="preserve"> занятиям спортом. Пропаганда здорового образа жизни населения, создание оптимальных условий для развития массовой физической культуры и спорта. Развитие сети спортивных сооружений и обеспечение потребности спортивных объектов и учреждений в оборудовании и инвентаре.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4B5E31" w:rsidRPr="00A465C9" w:rsidRDefault="004B5E31" w:rsidP="004B5E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>Должны быть реализованы программы в области физической культуры и спорта, призванные обеспечить равные права и возможности жителей, независимо от их доходов и благосостояния, участвовать в массовом спортивном движении, развивать свои спортивные достижения; привлекать детей и молодежь в занятия физической культурой; формировать у населения устойчивые навыки здорового образа жизни. Занятость подростков в свободное время ведет к снижению криминогенной напряженности в поселении.</w:t>
      </w:r>
    </w:p>
    <w:p w:rsidR="004B5E31" w:rsidRPr="00A465C9" w:rsidRDefault="004B5E31" w:rsidP="004B5E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b/>
          <w:bCs/>
          <w:sz w:val="28"/>
          <w:szCs w:val="28"/>
          <w:lang w:eastAsia="ru-RU"/>
        </w:rPr>
        <w:t>Совершенствование системы местного самоуправления</w:t>
      </w:r>
    </w:p>
    <w:p w:rsidR="004B5E31" w:rsidRPr="00A465C9" w:rsidRDefault="004B5E31" w:rsidP="004B5E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5C9">
        <w:rPr>
          <w:rFonts w:ascii="Times New Roman" w:hAnsi="Times New Roman"/>
          <w:sz w:val="28"/>
          <w:szCs w:val="28"/>
          <w:lang w:eastAsia="ru-RU"/>
        </w:rPr>
        <w:tab/>
        <w:t xml:space="preserve">Совершенствование системы взаимоотношений органов местного самоуправления с населением. Информирование населения о ходе реформ и </w:t>
      </w:r>
      <w:r w:rsidRPr="00A465C9">
        <w:rPr>
          <w:rFonts w:ascii="Times New Roman" w:hAnsi="Times New Roman"/>
          <w:sz w:val="28"/>
          <w:szCs w:val="28"/>
          <w:lang w:eastAsia="ru-RU"/>
        </w:rPr>
        <w:lastRenderedPageBreak/>
        <w:t>проблемах развития местного самоуправления. Совершенствование системы "обратной связи" органов местного самоуправления и населения.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 Для достижения цели концепции социально-экономического развития Долговского  сельского поселения на 2022 год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</w:t>
      </w:r>
      <w:proofErr w:type="gramStart"/>
      <w:r w:rsidRPr="00A465C9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A465C9">
        <w:rPr>
          <w:rFonts w:ascii="Times New Roman" w:hAnsi="Times New Roman"/>
          <w:sz w:val="28"/>
          <w:szCs w:val="28"/>
          <w:lang w:eastAsia="ru-RU"/>
        </w:rPr>
        <w:t>я реализации намеченных мероприятий. Реализация в полном объеме всех мероприятий позволит:- повысить качество предоставляемых услуг ЖКХ; - снизить численность населения с денежными доходами ниже прожиточного минимума; - повысить экологическую безопасность поселения, тем самым улучшить здоровье населения;- понизить показатели преступности, повысить безопасность жизни людей;- увеличить количество субъектов малого предпринимательства;- создать новые рабочие места;- увеличить собственные доходы бюджета;- улучшить жилищные условия сельчан;- способствовать развитию сельского хозяйства. В результате реализации всех намеченных мероприятий ожидается новый качественный уровень жизни населения Долговского сельсовета.</w:t>
      </w:r>
    </w:p>
    <w:p w:rsidR="004B5E31" w:rsidRPr="00A465C9" w:rsidRDefault="004B5E31" w:rsidP="004B5E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E31" w:rsidRPr="00463153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B5E31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E31" w:rsidRDefault="004B5E31" w:rsidP="004B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31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8D1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5E31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7F6031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3D65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2021-12-02T03:08:00Z</dcterms:created>
  <dcterms:modified xsi:type="dcterms:W3CDTF">2021-12-02T03:10:00Z</dcterms:modified>
</cp:coreProperties>
</file>