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8" w:rsidRPr="004B4766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7E2D28" w:rsidRPr="004B4766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7E2D28" w:rsidRPr="004B4766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7E2D28" w:rsidRPr="004B4766" w:rsidRDefault="007E2D28" w:rsidP="007E2D28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5310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.11.2021  № </w:t>
      </w:r>
      <w:r>
        <w:rPr>
          <w:rFonts w:ascii="Times New Roman" w:hAnsi="Times New Roman"/>
          <w:b/>
          <w:sz w:val="28"/>
          <w:szCs w:val="28"/>
          <w:lang w:eastAsia="ru-RU"/>
        </w:rPr>
        <w:t>35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с.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</w:p>
    <w:p w:rsidR="007E2D28" w:rsidRPr="00E53107" w:rsidRDefault="007E2D28" w:rsidP="007E2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>Об основных направлениях</w:t>
      </w:r>
    </w:p>
    <w:p w:rsidR="007E2D28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7E2D28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Долговского сельсовета 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2022 год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>В  соответствии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со статьей 172  Бюджетного кодекса Российской Федерации,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Решением  Собрания депутатов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сельсовета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края», ПОСТАНОВЛЯЮ: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2022 год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2.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Контроль над исполнением настоящего постановления оставляю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А.Д. Пеньков</w:t>
      </w: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2D28" w:rsidRPr="00E53107" w:rsidRDefault="007E2D28" w:rsidP="007E2D28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7E2D28" w:rsidRDefault="007E2D28" w:rsidP="007E2D28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</w:p>
    <w:p w:rsidR="007E2D28" w:rsidRDefault="007E2D28" w:rsidP="007E2D28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7E2D28" w:rsidRDefault="007E2D28" w:rsidP="007E2D28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2D28" w:rsidRPr="00E53107" w:rsidRDefault="007E2D28" w:rsidP="007E2D28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35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53107">
        <w:rPr>
          <w:rFonts w:ascii="Times New Roman" w:hAnsi="Times New Roman"/>
          <w:sz w:val="28"/>
          <w:szCs w:val="28"/>
          <w:lang w:eastAsia="ru-RU"/>
        </w:rPr>
        <w:t>.11.2021 г.</w:t>
      </w:r>
    </w:p>
    <w:p w:rsidR="007E2D28" w:rsidRPr="00E53107" w:rsidRDefault="007E2D28" w:rsidP="007E2D28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53107">
        <w:rPr>
          <w:rFonts w:ascii="Times New Roman" w:hAnsi="Times New Roman"/>
          <w:bCs/>
          <w:sz w:val="28"/>
          <w:szCs w:val="28"/>
          <w:lang w:eastAsia="ru-RU"/>
        </w:rPr>
        <w:t>образовании</w:t>
      </w:r>
      <w:proofErr w:type="gram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2022 год</w:t>
      </w:r>
    </w:p>
    <w:p w:rsidR="007E2D28" w:rsidRPr="00E53107" w:rsidRDefault="007E2D28" w:rsidP="007E2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2022 год разработаны в соответствии с основными направлениями бюджетной и налоговой политики Алтайского края на 2022 год и на плановый период 2023 и 2024 годов, с учетом положений Послания Президента Российской Федерации Федеральному Собранию Российской Федерации</w:t>
      </w: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 от 21.04.2021, Указа Президента Российской Федерации от 21.07.2020 № 474</w:t>
      </w:r>
      <w:proofErr w:type="gramEnd"/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года», распоряжения Правительства Российской Федерации от 31.01.2019 №117-р «Концепция повышения эффективности бюджетных расходов в 2019 – 2024 годах», мероприятий, предусмотренных индивидуальной программой социально-экономического развития Алтайского края на 2020-2024 годы, утвержденной распоряжением Правительства Российской Федерации от 08.04.2021 № 928-р.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  <w:lang w:eastAsia="ru-RU"/>
        </w:rPr>
      </w:pPr>
      <w:proofErr w:type="gramStart"/>
      <w:r w:rsidRPr="00E53107">
        <w:rPr>
          <w:rFonts w:ascii="Times New Roman" w:hAnsi="Times New Roman"/>
          <w:color w:val="000000"/>
          <w:sz w:val="28"/>
          <w:szCs w:val="28"/>
          <w:shd w:val="clear" w:color="auto" w:fill="FAFAFA"/>
          <w:lang w:eastAsia="ru-RU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основные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  <w:proofErr w:type="gramEnd"/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Ключевыми задачами бюджетной и налоговой политики определены:</w:t>
      </w:r>
      <w:proofErr w:type="gramEnd"/>
    </w:p>
    <w:p w:rsidR="007E2D28" w:rsidRPr="00E53107" w:rsidRDefault="007E2D28" w:rsidP="007E2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пандемии;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безусловное исполнение принятых обязательств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, в том числе в </w:t>
      </w: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>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3107">
        <w:rPr>
          <w:rFonts w:ascii="Times New Roman" w:hAnsi="Times New Roman"/>
          <w:sz w:val="28"/>
          <w:szCs w:val="28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E53107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E53107">
        <w:rPr>
          <w:rFonts w:ascii="Times New Roman" w:hAnsi="Times New Roman"/>
          <w:sz w:val="28"/>
          <w:szCs w:val="28"/>
        </w:rPr>
        <w:t xml:space="preserve"> общедоступных информационно-аналитических ресурсов.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D28" w:rsidRPr="00E53107" w:rsidRDefault="007E2D28" w:rsidP="007E2D28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D28" w:rsidRPr="00E53107" w:rsidRDefault="007E2D28" w:rsidP="007E2D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Основные направления налоговой политики на 2022 год  сформированы в соответствии с основными направлениями налоговой политики Российской Федерации, Алтайского края на 2022 год, с учетом положений Послания Президента Российской Федерации Федеральному Собранию Российской Федерации от 21.04.2021 и сложившихся экономических условий.</w:t>
      </w:r>
      <w:proofErr w:type="gramEnd"/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налоговой политике учтены изменения законодательства Российской Федерации и Алтайского края, вводимые и планируемые к введению в действие в конце 2021 года и в 2022-2024 годах.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 ориентированы на обеспечение стабильных налоговых условий,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налогоплательщиков, на сохранение достигнутого уровня налогового потенциала и создание условий для дальнейшего роста налоговых и неналоговых доходов бюджета.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По налогу на доходы физических лиц: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предусмотрено право налогоплательщика на получение социального налогового вычета по налогу на доходы физических лиц в части понесенных расходов на физкультурно-оздоровительные услуги, фактически произведенные им с 1 января 2022 года. Перечень физкультурно-спортивных организаций, индивидуальных предпринимателей, порядок его формирования и ведения утверждается Правительством Российской Федерации;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установление коэффициента,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лиц, уплачиваемого иностранными гражданами, осуществляющими трудовую </w:t>
      </w: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>деятельность по найму на основании патента в размере 1,85 (на 2021 год – 1,78);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увеличение предельного возраста детей налогоплательщика до 24 лет в целях возможности предоставления социального налогового вычета в сумме расходов на оплату медицинских услуг и приобретение лекарственных препаратов для детей, обучающихся по очной форме обучения в организациях, осуществляющих образовательную деятельность;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наделение букмекерских контор и тотализаторов функциями налоговых агентов при выплате выигрышей в сумме до 15 тыс. рублей;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установление в целях освобождения от налогообложения предельных величин (нормативов) компенсационных выплат при оплате дистанционным работникам расходов, связанных с использованием ими собственного или арендованного оборудования, программно-технических средств, средств защиты информации и иных сре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>я выполнения трудовой функции;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планируется пересмотреть порядок уплаты налога на доходы физических лиц для семей с двумя и более детьми при продаже жилья;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наделение иностранных юридических лиц функциями налоговых агентов по налогу на доходы физических лиц в отношении доходов, выплачиваемых физическим лицам, выполняющим работы и услуги на территории Российской Федерации, в том числе в области информационных технологий, с использованием сети «Интернет»;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отменена обязанность налогоплательщика представлять налоговую декларацию в случае получения дохода от реализации недвижимого имущества, находившегося в его собственности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менее минимального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предельного срока владения, в размере, не выше имущественных налоговых вычетов при продаже имущества (250 тыс. рублей либо 1 млн. рублей);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минимальный предельный срок владения жилым помещением, приобретенным налогоплательщиком по договору участия в долевом строительстве, исчисляется с момента полной оплаты первоначальной стоимости жилья по такому договору без учета возможной доплаты за увеличение его площади после ввода в эксплуатацию соответствующего объекта строительства;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информация о выплаченных физическим лицам суммах процентов по вкладам (остаткам на счетах) в банках, находящихся на территории Российской Федерации, передается банками в налоговые органы в электронной форме. Порядок представления указанной информации будет утверждаться федеральным органом исполнительной власти, уполномоченным по контролю и надзору в области налогов и сборов.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По специальным налоговым режимам: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планируется введение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бездекларационной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уплаты налога и страховых взносов организациями и индивидуальными предпринимателями, применяющими упрощенную систему налогообложения с численностью работников не более 5 человек и имеющими предельную сумму годового дохода не более 60 млн. рублей, в целях снижения административной </w:t>
      </w: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>нагрузки на малый бизнес. Объектом налогообложения будут признаваться «доходы»;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внесение изменений в патентную систему налогообложения, предусматривающих ежегодную индексацию размера потенциального возможного к получению дохода на коэффициент-дефлятор, утверждаемый на федеральном уровне;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законом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установлены на долговременной основе единые нормативы отчислений в бюджеты муниципальных округов от налоговых и неналоговых доходов. Норматив по упрощенной системе налогообложения для муниципальных округов установлен в размере 75 процентов.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По имущественным налогам организаций: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установлены единые сроки уплаты организациями транспортного и земельного налогов (с 2021г.), налога на имущество организаций (с 2022г.).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За год – не позднее 1 марта года, следующего за истекшим налоговым периодом; авансовые платежи - не позднее последнего числа месяца, следующего за истекшим отчетным периодом;</w:t>
      </w:r>
      <w:proofErr w:type="gramEnd"/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предоставлено право юридическим лицам не представлять декларации по транспортному, земельному налогам (начиная с налогового периода 2020 года), по налогу на имущество организаций в части кадастровой стоимости, начиная с отчетности за 2022 год.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налоговые органы возлагается обязанность по передаче (направлению) налогоплательщикам-организациям (их обособленным подразделениям) сообщений об исчисленных суммах налога;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пониженные ставки налога на имущество организаций, применяемые в отношении объектов железнодорожной инфраструктуры, в размере 1,6 процента продлены до 2023 года включительно (с 2022 года ставка предусматривалась 2,2 процента);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уточнен порядок исчисления суммы налога на имущество организаций (сумм авансовых платежей) в отношении объектов недвижимого имущества, в отношении которых налоговая база определяется как кадастровая стоимость, находящихся в общей долевой собственности. Сумма налога (сумма авансового платежа) исчисляется для каждого из участников долевой собственности пропорционально его доле в праве общей собственности на такой объект недвижимого имущества. В случае изменения в течение налогового периода доли налогоплательщика в праве общей собственности на объект недвижимого имущества сумма налога (сумма авансового платежа) исчисляется с учетом коэффициента, определяемого как отношение количества полных месяцев, в течение которых данный объект недвижимого имущества находился в собственности налогоплательщика, к количеству месяцев в налоговом периоде;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закреплены правила для случаев, когда имущество уничтожено,  исчисление налога будет прекращаться с первого числа месяца гибели или </w:t>
      </w: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уничтожения имущества, а не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с даты снятия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с государственного учета и государственной регистрации прекращения прав;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исключены из объектов налогообложения по транспортному налогу весельные лодки, а также моторные лодки с двигателем мощностью не свыше 5 лошадиных сил. Указанные изменения распространяются на правоотношения, связанные с исчислением транспортного налога за налоговый период 2020 года.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По государственной пошлине: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установлена государственная пошлина за государственную регистрацию прав, ограничений прав и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обременении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объектов сетей газораспределения и сетей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газопотребления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>, созданных при выполнении мероприятий по подключению (технологическому присоединению) объектов капитального строительства, а также за государственную регистрацию сделок с указанными объектами недвижимости в размере 2 000 рублей;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предусмотрено освобождение от уплаты государственной пошлины детей-инвалидов (их представителей) в отношении тех юридически значимых действий, в отношении которых предусмотрены льготы для инвалидов I и II групп: при обращении в суды общей юрисдикции, а также за совершение нотариальных действий, в целях обеспечения равенства прав инвалидов;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госпошлина за выдачу аттестата экскурсовода (гида) или гида-переводчика, оказывающих услуги на туристических маршрутах подлежит зачислению в бюджет субъекта по нормативу 100 процентов.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 1 января 2022 года доходы от штрафов по КоАП РФ, налагаемых федеральными судами за нарушения, выявленные контрольно-счетными органами субъектов Российской Федерации, зачисляются в бюджеты субъектов.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Планируется расширить практику применения единого налогового платежа и распространить его на юридических лиц и индивидуальных предпринимателей. Механизм "единого налогового платежа" позволяет уплачивать обязательные платежи одним платежным поручением без уточнения вида платежа, срока его уплаты, принадлежности к бюджету бюджетной системы Российской Федерации.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В соответствии с изменением в Бюджетный кодекс Российской Федерации перечни главных администраторов доходов (главных администраторов источников финансирования дефицита) местного бюджета утверждаются местной администрацией в соответствии с общими требованиями установленными Правительством Российской Федерации.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  <w:r w:rsidRPr="00E53107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Основные направления налоговой политики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 будут проводиться с учетом реализации изменений, принятых федеральным и краевым законодательством, и рассматриваемых в законопроектах.</w:t>
      </w:r>
    </w:p>
    <w:p w:rsidR="007E2D28" w:rsidRPr="00E53107" w:rsidRDefault="007E2D28" w:rsidP="007E2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7E2D28" w:rsidRPr="00E53107" w:rsidRDefault="007E2D28" w:rsidP="007E2D28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политики</w:t>
      </w:r>
    </w:p>
    <w:p w:rsidR="007E2D28" w:rsidRPr="00E53107" w:rsidRDefault="007E2D28" w:rsidP="007E2D28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Бюджетная политика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направлена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сохранение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безусловного исполнения действующих расходных обязательств;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концентрацию ресурсов на приоритетных направлениях развития и выполнении публичных обязательств;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повышение точности бюджетного планирования и эффективного использования бюджетных средств;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муниципального управления и финансового контроля;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минимизацию рисков сбалансированности бюджета за счет расширения доходной базы и повышения эффективности бюджетных расходов, выявление резервов и результативности их перераспределения;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финансового управления муниципальных закупок;</w:t>
      </w:r>
    </w:p>
    <w:p w:rsidR="007E2D28" w:rsidRPr="00E53107" w:rsidRDefault="007E2D28" w:rsidP="007E2D28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В 2022 году в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>С 1 января 2022 года исполнение отдельных функций финансовых органов муниципальных образований будет осуществляться в условиях реализации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          и кредиторской задолженности, в том числе незавершенного строительства.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>По данным Росстата за 2020 год, а также за 2 квартал 2021 года в Алтайском крае обеспечено достижение необходимых соотношений по оплате труда отдельных категорий работников бюджетной сферы.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При формировании проекта бюджета будет предусмотрена индексация заработной платы: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>опережающими темпами для отдельных категорий работников, подпадающих под действие указов Президента Российской Федерации - 15,9 процентов с 1 января 2022 года;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работников бюджетного сектора экономики Алтайского края, на которых не распространяется действие указов, государственных гражданских служащих Алтайского края - 4,0 процента с 1 октября 2022 года. 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Кроме того, расходы на заработную плату предусматриваются с учетом внесенного на согласование в Государственную думу Российской Федерации минимального </w:t>
      </w:r>
      <w:proofErr w:type="gramStart"/>
      <w:r w:rsidRPr="00E53107">
        <w:rPr>
          <w:rFonts w:ascii="Times New Roman" w:eastAsia="Calibri" w:hAnsi="Times New Roman"/>
          <w:sz w:val="28"/>
          <w:szCs w:val="28"/>
          <w:lang w:eastAsia="ru-RU"/>
        </w:rPr>
        <w:t>размера оплаты труда</w:t>
      </w:r>
      <w:proofErr w:type="gramEnd"/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, рассчитанного по новой методике, разработанной Министерством труда Российской Федерации, - 13617 руб., на территории </w:t>
      </w:r>
      <w:proofErr w:type="spellStart"/>
      <w:r w:rsidRPr="00E53107">
        <w:rPr>
          <w:rFonts w:ascii="Times New Roman" w:eastAsia="Calibri" w:hAnsi="Times New Roman"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 района с учетом районного коэффициента 25 процентов МРОТ составит 17021,25 рублей.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E53107">
        <w:rPr>
          <w:rFonts w:ascii="Times New Roman" w:eastAsia="Calibri" w:hAnsi="Times New Roman"/>
          <w:sz w:val="28"/>
          <w:szCs w:val="28"/>
          <w:lang w:eastAsia="ru-RU"/>
        </w:rPr>
        <w:t>Согласно постановлениям Конституционного Суда Российской Федерации, оплата за труд в случае выполнения работы в условиях, отклоняющихся от нормальных, должна оплачиваться сверх установленного минимального размера оплаты труда.</w:t>
      </w:r>
      <w:proofErr w:type="gramEnd"/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целях </w:t>
      </w:r>
      <w:proofErr w:type="spellStart"/>
      <w:r w:rsidRPr="00E53107">
        <w:rPr>
          <w:rFonts w:ascii="Times New Roman" w:hAnsi="Times New Roman"/>
          <w:bCs/>
          <w:iCs/>
          <w:sz w:val="28"/>
          <w:szCs w:val="28"/>
          <w:lang w:eastAsia="ru-RU"/>
        </w:rPr>
        <w:t>софинансирования</w:t>
      </w:r>
      <w:proofErr w:type="spellEnd"/>
      <w:r w:rsidRPr="00E5310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расходных обязательств муниципальных образований, </w:t>
      </w:r>
      <w:r w:rsidRPr="00E53107">
        <w:rPr>
          <w:rFonts w:ascii="Times New Roman" w:hAnsi="Times New Roman"/>
          <w:sz w:val="28"/>
          <w:szCs w:val="28"/>
          <w:lang w:eastAsia="ru-RU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E53107">
        <w:rPr>
          <w:rFonts w:ascii="Times New Roman" w:eastAsia="Calibri" w:hAnsi="Times New Roman"/>
          <w:bCs/>
          <w:sz w:val="28"/>
          <w:szCs w:val="28"/>
          <w:lang w:eastAsia="ru-RU"/>
        </w:rPr>
        <w:t>процедур планирования и технологий исполнения бюджета</w:t>
      </w: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, включая </w:t>
      </w:r>
      <w:r w:rsidRPr="00E531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расширение практики </w:t>
      </w:r>
      <w:r w:rsidRPr="00E53107">
        <w:rPr>
          <w:rFonts w:ascii="Times New Roman" w:eastAsia="Calibri" w:hAnsi="Times New Roman"/>
          <w:sz w:val="28"/>
          <w:szCs w:val="28"/>
          <w:lang w:eastAsia="ru-RU"/>
        </w:rPr>
        <w:t>обоснования бюджетных ассигнований для получателей бюджетных средств</w:t>
      </w:r>
      <w:r w:rsidRPr="00E53107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3107">
        <w:rPr>
          <w:rFonts w:ascii="Times New Roman" w:eastAsia="Calibri" w:hAnsi="Times New Roman"/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7E2D28" w:rsidRPr="00E53107" w:rsidRDefault="007E2D28" w:rsidP="007E2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Мероприятия в части инвентаризации установленных расходных полномочий органов местного самоуправления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  района направлены на недопущение п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107">
        <w:rPr>
          <w:rFonts w:ascii="Times New Roman" w:eastAsia="Calibri" w:hAnsi="Times New Roman"/>
          <w:sz w:val="28"/>
          <w:szCs w:val="28"/>
          <w:lang w:eastAsia="ru-RU"/>
        </w:rPr>
        <w:t xml:space="preserve">Последовательный </w:t>
      </w:r>
      <w:r w:rsidRPr="00E53107">
        <w:rPr>
          <w:rFonts w:ascii="Times New Roman" w:hAnsi="Times New Roman"/>
          <w:sz w:val="28"/>
          <w:szCs w:val="28"/>
          <w:lang w:eastAsia="ru-RU"/>
        </w:rPr>
        <w:t>анализ структуры расходных полномочий, мониторинг реализации государственных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2022 год.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Средства, запланированные в бюджете на проведение капитального (текущего) ремонта в 2022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Расходы на содержание дорожного хозяйства района, как и в предыдущие годы, будут осуществляться за счет средств муниципального дорожного фонда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объемов дорожных фондов на 2022 год учитывается динамика действующего законодательства в части зачисления в бюджет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района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инжекторных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) двигателей, производимые на территории Российской Федерации.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В целях обеспечения стабильного функционирования бюджетной системы в 2022 году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Основными мероприятиями в сфере межбюджетных отношений являются: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выравнивание бюджетной обеспеченности муниципальных образований;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муниципальных образований.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Выравнивание бюджетной обеспеченности муниципальных районов, </w:t>
      </w:r>
      <w:r w:rsidRPr="00E53107">
        <w:rPr>
          <w:rFonts w:ascii="Times New Roman" w:hAnsi="Times New Roman"/>
          <w:sz w:val="28"/>
          <w:szCs w:val="28"/>
          <w:lang w:eastAsia="ru-RU"/>
        </w:rPr>
        <w:t>городских округов по-прежнему выполняет важную роль при    формировании местных бюджетов. Применение этого инструмента межбюджетного регулирования позволяет ежегодно снижать разрыв в уровне бюджетной обеспеченности муниципальных районов, городских округов.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E53107">
        <w:rPr>
          <w:rFonts w:ascii="Times New Roman" w:hAnsi="Times New Roman"/>
          <w:bCs/>
          <w:iCs/>
          <w:sz w:val="28"/>
          <w:szCs w:val="28"/>
          <w:lang w:eastAsia="ru-RU"/>
        </w:rPr>
        <w:t>комплекс мер стимулирующего характера: предоставление грантов, пр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Проект поддержки местных инициатив, действующий в Алтайском крае с 2016 года, является наиболее распространенной практикой инициативного бюджетирования в России.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софинансируют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выбранные объекты, принимают трудовое участие в реализации проекта и контролируют выполнение работ.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Наиболее востребованными для жителей проектами являются обустройство детских площадок, создание спортивных объектов, ремонт объектов культуры, 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Практика Проекта ежегодно расширяется. Так, с 2022 года предоставляются дополнительные возможности участникам муниципальным районам предоставлено право подачи на конкурс проектов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общерайонного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значения (которыми будут пользоваться два и более населенных пункта).</w:t>
      </w:r>
    </w:p>
    <w:p w:rsidR="007E2D28" w:rsidRPr="00E53107" w:rsidRDefault="007E2D28" w:rsidP="007E2D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Политика в области управления  муниципальным долгом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7E2D28" w:rsidRPr="00E53107" w:rsidRDefault="007E2D28" w:rsidP="007E2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7E2D28" w:rsidRPr="00E53107" w:rsidRDefault="007E2D28" w:rsidP="007E2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 учетом значительного изменения федерального налогового и бюджетного законодательства, оказывающего влияние на формирование доходной базы местных бюджетов, будет использоваться  возможность учета неналоговых доходов при распределении дотации на выравнивание бюджетной обеспеченности.</w:t>
      </w:r>
    </w:p>
    <w:p w:rsidR="007E2D28" w:rsidRPr="00E53107" w:rsidRDefault="007E2D28" w:rsidP="007E2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Продолжится вовлечение граждан в бюджетный процесс посредством публичных слушаний, форумов и опросов, а также реализация мероприятий по повышению бюджетной грамотности населения. Размещение информации о бюджетном </w:t>
      </w:r>
      <w:proofErr w:type="gramStart"/>
      <w:r w:rsidRPr="00E53107">
        <w:rPr>
          <w:rFonts w:ascii="Times New Roman" w:hAnsi="Times New Roman"/>
          <w:sz w:val="28"/>
          <w:szCs w:val="28"/>
          <w:lang w:eastAsia="ru-RU"/>
        </w:rPr>
        <w:t>процессе</w:t>
      </w:r>
      <w:proofErr w:type="gram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как и прежде будет осуществляться на официальном сайте Администрации </w:t>
      </w:r>
      <w:proofErr w:type="spellStart"/>
      <w:r w:rsidRPr="00E53107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E53107">
        <w:rPr>
          <w:rFonts w:ascii="Times New Roman" w:hAnsi="Times New Roman"/>
          <w:sz w:val="28"/>
          <w:szCs w:val="28"/>
          <w:lang w:eastAsia="ru-RU"/>
        </w:rPr>
        <w:t xml:space="preserve"> района, в средствах массовой информации. </w:t>
      </w:r>
    </w:p>
    <w:p w:rsidR="007E2D28" w:rsidRPr="00E53107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</w:rPr>
        <w:t>Обеспечение своевременного финансирования и освоения сре</w:t>
      </w:r>
      <w:proofErr w:type="gramStart"/>
      <w:r w:rsidRPr="00E53107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53107">
        <w:rPr>
          <w:rFonts w:ascii="Times New Roman" w:hAnsi="Times New Roman"/>
          <w:sz w:val="28"/>
          <w:szCs w:val="28"/>
        </w:rPr>
        <w:t xml:space="preserve">едстоящий период обеспечит устойчивость бюджетной системы района, обеспечит социальную стабильность, создаст условия для дальнейшего роста. </w:t>
      </w: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D28" w:rsidRDefault="007E2D28" w:rsidP="007E2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E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E7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3E7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6CB5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D2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2021-11-22T03:37:00Z</dcterms:created>
  <dcterms:modified xsi:type="dcterms:W3CDTF">2021-11-22T05:05:00Z</dcterms:modified>
</cp:coreProperties>
</file>