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4" w:rsidRPr="004B4766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12124" w:rsidRPr="004B4766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412124" w:rsidRPr="004B4766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12124" w:rsidRPr="004B4766" w:rsidRDefault="00412124" w:rsidP="00412124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124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2124" w:rsidRPr="00E53107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5310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412124" w:rsidRPr="00E53107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2124" w:rsidRPr="00E53107" w:rsidRDefault="00412124" w:rsidP="00412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2124" w:rsidRPr="00E53107" w:rsidRDefault="00412124" w:rsidP="00412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>.11.202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eastAsia="ru-RU"/>
        </w:rPr>
        <w:t>29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  с.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Долгово</w:t>
      </w:r>
    </w:p>
    <w:p w:rsidR="00412124" w:rsidRPr="00E53107" w:rsidRDefault="00412124" w:rsidP="00412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Долговского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412124" w:rsidRPr="00E53107" w:rsidRDefault="00412124" w:rsidP="004121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>В  соответствии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со статьей 172  Бюджетного кодекса Российской Федерации,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Решением  Собрания депутатов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сельсовета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края», ПОСТАНОВЛЯЮ:</w:t>
      </w: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1. Утвердить прилагаемые основные направления бюджетной и налоговой политики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2.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Контроль над исполнением настоящего постановления оставляю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собой.</w:t>
      </w: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E531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А.Д. Пеньков</w:t>
      </w: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53107" w:rsidRDefault="00412124" w:rsidP="004121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2124" w:rsidRPr="00E87178" w:rsidRDefault="00412124" w:rsidP="00412124">
      <w:pPr>
        <w:keepNext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412124" w:rsidRPr="00E87178" w:rsidRDefault="00412124" w:rsidP="00412124">
      <w:pPr>
        <w:keepNext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постановлением Администрации № 29   от 10.11 2021 г.</w:t>
      </w:r>
    </w:p>
    <w:p w:rsidR="00412124" w:rsidRPr="00E87178" w:rsidRDefault="00412124" w:rsidP="00412124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412124" w:rsidRPr="00E87178" w:rsidRDefault="00412124" w:rsidP="004121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412124" w:rsidRPr="00E87178" w:rsidRDefault="00412124" w:rsidP="004121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на 2023 год</w:t>
      </w:r>
    </w:p>
    <w:p w:rsidR="00412124" w:rsidRPr="00E87178" w:rsidRDefault="00412124" w:rsidP="00412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12124" w:rsidRPr="00E87178" w:rsidRDefault="00412124" w:rsidP="004121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на 2023 год разработаны в соответствии с основными направлениями бюджетной и налоговой политики Алтайского края на 2023 год и на плановый период 2024 и 2025 годов, с учетом положений Послания Президента Российской Федерации Федеральному Собранию Российской Федерации от 21.04.2021, Указа Президента Российской Федерации от 21.07.2020 № 474 «О национальных целях развития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на период до 2030 года», Единого плана по достижению национальных целей развития Российской Федерации на период до 2024 года и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санкционного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давления, распоряжения Правительства Российской Федерации от 31.01.2019 №117-р «Концепция повышения эффективности бюджетных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расходов в 2019 – 2024 годах», мероприятий, предусмотренных индивидуальной программой социально-экономического развития Алтайского края на 2020-2024 годы, утвержденной распоряжением Правительства Российской Федерации от 08.04.2021 № 928-р.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сектора экономики, стимулированию инвестиционной активности, обеспечению устойчивого развития бюджетной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системы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,о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>сновные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направления налоговой политики будут сосредоточены на стабильном налоговом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законодательстве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>, сбалансированности, устойчивости и увеличении налогового потенциала для формирования бюджета.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Ключевыми задачами бюджетной и налоговой политики определены:</w:t>
      </w:r>
      <w:proofErr w:type="gramEnd"/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санкционного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давления и последствий пандемии;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сохранение стабильности налоговой нагрузки и полноты выявления плательщиков;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безусловное исполнение принятых обязательств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повышение финансовой дисциплины органов местного самоуправления;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реализация программно-целевого принципа формирования местного бюджета;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развития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общедоступных информационно-аналитических ресурсов.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2. Основные направления налоговой политики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Основные направления налоговой политики на 2023 год  сформированы в соответствии с основными направлениями налоговой политики Российской Федерации, Алтайского края на 2023 год, с учетом положений Послания Президента Российской Федерации Федеральному Собранию Российской Федерации от 21.04.2021 и сложившихся экономических условий.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В налоговой политике учтены изменения законодательства Российской Федерации и Алтайского края, вводимые и планируемые к введению в действие в конце 2022 года и в 2023-2025 годах.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ориентированы на поддержку, повышение конкурентоспособности приоритетных отраслей экономики, на создание условий для восстановления деловой активности в условиях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санкционных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ограничений.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Приоритетным направлением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</w:t>
      </w: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 в условиях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санкционного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давления.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По налогу на доходы физических лиц: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установление коэффициента, отражающего региональные особенности рынка труда в Алтайском крае, для исчисления размера фиксированного авансового платежа по налогу на доходы физических лиц на 2023 год в размере 1,95;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продолжается мораторий на процентные доходы по вкладам (остаткам на счетах) в банках, находящихся в Российской Федерации (доходы, полученные в 2022 году, не будут учитываться для целей налогообложения налога на доходы физических лиц);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распространение права на социальный налоговый вычет по расходам, произведенным на оплату медицинских услуг, оказанных детям (подопечным), признанным судом недееспособными, без ограничения по возрасту;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2022 года, можно получить у работодателя (в течение календарного года), начиная с 2023 года в налоговом органе (за фактически произведенные расходы с 1 января 2022 года);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распространение освобождения от налогообложения в установленных пределах на любые компенсационные выплаты при увольнении, предусмотренные законодательством.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 части специальных налоговых режимов: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внесение изменений в патентную систему налогообложения в целях уточнения размера потенциально возможного годового дохода;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в соответствии с перечнем поручений заместителя Председателя Правительства Российской Федерации снижение ставок по упрощенной системе налогообложения для налогоплательщиков - субъектов малого и среднего предпринимательства,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(с 6% до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1% по объекту «доходы», с 15% до 5% по объекту «доходы-расходы»);</w:t>
      </w:r>
      <w:proofErr w:type="gramEnd"/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разработка специального налогового режима в части налога на прибыль организаций, налога на имущество организаций для организаций, </w:t>
      </w: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>разрабатывающих и производящих высокотехнологичные товары (работы, услуги).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 части имущественных налогов: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предоставление льготы по налогу на имущество организаций в отношении объектов, вновь созданных в рамках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догазификации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>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распространение льготы по транспортному налогу (0% на легковые автомобили с мощностью двигателя до 100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л.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.)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ветеранов боевых действий и членов семей погибших (умерших) ветеранов боевых действий;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сохранение на 2023 год пониженной ставки налога на имущество организаций, применяемой в отношении объектов железнодорожной инфраструктуры (1,6 %);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переход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в рамках разработки специального экономического режима для производственных компаний, занятых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импорта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замещении, планируется рассмотрение вопроса об установлении преференций по имущественным налогам на срок до истечения 5 лет с момента начала выпуска такими компаниями новой продукции.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Норматив зачисления пеней в консолидированный бюджет субъекта – 43% с последующим распределение между бюджетами субъектов по нормативам, установленным федеральным законом о федеральном бюджете.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Доходы от процентов будут зачисляться 100% в федеральный бюджет.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будут проводиться с учетом реализации изменений, принятых федеральным и краевым законодательством, и рассматриваемых в законопроектах.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3.Основные направления бюджетной политики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санкционным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давлением, и принятием мер по устранению последствий пандемии, а также позволяет обеспечивать сбалансированное развитие на среднюю и долгосрочную перспективу.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Доловского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района; обеспечение реализации мероприятий индивидуальной программы социально-экономического развития Алтайского края позволит обеспечить сбалансированное развитие 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на среднюю и долгосрочную перспективу.</w:t>
      </w:r>
      <w:proofErr w:type="gramEnd"/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В 2022 году в Долговском сельсовете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При формировании проекта бюджета будет предусмотрена индексация заработной платы: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отдельных категорий работников, подпадающих под действие указов Президента Российской Федерации – на 8,7 процента с 1 января 2023 года;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работников бюджетного сектора экономики Алтайского края, на которых не распространяется действие указов, - 5,5 процента с 1 октября 2023 года.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Минимальный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с 1 января 2023 года увеличится на 6,3 процента и составит 16242 рубля.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Кроме того, расходы на заработную плату предусматриваются с учетом планируемого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темпа роста минимального размера оплаты труда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 рамках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 расширение практики обоснования бюджетных ассигнований для получателей бюджетных средств.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Мероприятия в части инвентаризации установленных расходных полномочий органов местного самоуправления 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Долговского сельсовета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района. Последовательный анализ структуры расходных полномочий, мониторинг реализации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2023 год.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Средства, запланированные в бюджете на проведение капитального (текущего) ремонта в 2023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Расходы на содержание дорожного хозяйства поселения, как и в предыдущие годы, будут осуществляться за счет средств муниципального дорожного фонда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района, а также дополнительного финансирования из средств районного бюджета на поддержку дорожного хозяйства.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При определении объемов дорожных фондов на 2023 год учитывается динамика действующего законодательства в части зачисления в бюджет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инжекторных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) двигателей, производимые на территории Российской Федерации.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 целях обеспечения стабильного функционирования бюджетной системы в 2023 году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Основными мероприятиями в сфере межбюджетных отношений являются: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выравнивание бюджетной обеспеченности муниципальных образований;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муниципальных образований.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и результативности деятельности органов местного самоуправления осуществляется комплекс мер </w:t>
      </w: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стимулирующего характера: предоставление грантов, премирование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Проект поддержки местных инициатив, действующий в Алтайском крае с 2016 года, является наиболее распространенной практикой инициативного бюджетирования в России.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софинансируют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выбранные объекты, принимают трудовое участие в реализации проекта и контролируют выполнение работ.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Максимальный размер субсидии из краевого бюджета на реализацию одного инициативного проекта составляет 1,3 млн. рублей.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Участвовать в ППМИ могут: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сельские населенные пункты;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поселки городского типа (рабочие поселки), входящие в состав муниципальных районов;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малые города с численностью населения до 50 тыс. человек (г. Заринск,</w:t>
      </w:r>
      <w:proofErr w:type="gramEnd"/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г. Камень-на-Оби, г. Славгород, г. Алейск, г. Белокуриха, г.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Горняк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,г</w:t>
      </w:r>
      <w:proofErr w:type="spellEnd"/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>. Яровое, г. Змеиногорск);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муниципальные районы и муниципальные округа с проектами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общерайонного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общеокружного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>) значения, результатами которых будут пользоваться жители двух и более населенных пунктов.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Реализация Проекта поддержки местных инициатив в Алтайском крае будет продолжена в 2023 году.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Обеспечение устойчивости местных бюджетов, усиление ответственности органов местного самоуправления при организации </w:t>
      </w:r>
      <w:r w:rsidRPr="00E871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о мерах по социально-экономическому развитию и оздоровлению муниципальных финансов и осуществлению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их исполнением.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и направлен на снижение уровня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дотационности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и увеличение доходной базы муниципальных образований.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Важнейшими задачами в складывающихся бюджетных условиях для органов местного самоуправления являются: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соблюдение условий и выполнение целевых показателей заключенных соглашений;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исполнение расходных обязательств исключительно в рамках полномочий, определенных для местных бюджетов федеральным и региональным законодательством;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выполнение мер, предусмотренных программами оптимизации расходов;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удержание оптимальной долговой нагрузки на бюджеты муниципальных образований;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 xml:space="preserve">усиление 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принятием расходных обязательств в целях недопущения образования и роста просроченной кредиторской задолженности в муниципальных учреждениях и в органах местного самоуправления </w:t>
      </w:r>
      <w:proofErr w:type="spellStart"/>
      <w:r w:rsidRPr="00E8717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178">
        <w:rPr>
          <w:rFonts w:ascii="Times New Roman" w:hAnsi="Times New Roman"/>
          <w:sz w:val="28"/>
          <w:szCs w:val="28"/>
          <w:lang w:eastAsia="ru-RU"/>
        </w:rPr>
        <w:t>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</w:t>
      </w:r>
      <w:proofErr w:type="gramStart"/>
      <w:r w:rsidRPr="00E87178">
        <w:rPr>
          <w:rFonts w:ascii="Times New Roman" w:hAnsi="Times New Roman"/>
          <w:sz w:val="28"/>
          <w:szCs w:val="28"/>
          <w:lang w:eastAsia="ru-RU"/>
        </w:rPr>
        <w:t>дств в пр</w:t>
      </w:r>
      <w:proofErr w:type="gramEnd"/>
      <w:r w:rsidRPr="00E87178">
        <w:rPr>
          <w:rFonts w:ascii="Times New Roman" w:hAnsi="Times New Roman"/>
          <w:sz w:val="28"/>
          <w:szCs w:val="28"/>
          <w:lang w:eastAsia="ru-RU"/>
        </w:rPr>
        <w:t xml:space="preserve">едстоящий период обеспечит сохранение устойчивости бюджетной системы, социальной стабильности, создаст условия для дальнейшего роста. </w:t>
      </w:r>
    </w:p>
    <w:p w:rsidR="00412124" w:rsidRPr="00E87178" w:rsidRDefault="00412124" w:rsidP="0041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0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124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4F20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3381</Words>
  <Characters>19274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2022-12-06T11:24:00Z</dcterms:created>
  <dcterms:modified xsi:type="dcterms:W3CDTF">2022-12-06T11:24:00Z</dcterms:modified>
</cp:coreProperties>
</file>